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/>
          <w:sz w:val="20"/>
        </w:rPr>
        <w:t>D&amp;N TRADE</w:t>
      </w:r>
    </w:p>
    <w:p>
      <w:r>
        <w:rPr>
          <w:b/>
          <w:sz w:val="44"/>
        </w:rPr>
        <w:t>Technical Clarification Log</w:t>
      </w:r>
    </w:p>
    <w:p>
      <w:r>
        <w:rPr>
          <w:i/>
          <w:sz w:val="20"/>
        </w:rPr>
        <w:t>A controlled log for questions, answers and closure evidence.</w:t>
      </w:r>
    </w:p>
    <w:p>
      <w:r>
        <w:t>Placeholder template — replace the marked fields with confirmed D&amp;N information before publishing.</w:t>
      </w:r>
    </w:p>
    <w:p>
      <w:pPr>
        <w:pStyle w:val="Heading2"/>
      </w:pPr>
      <w:r>
        <w:t>Log fields</w:t>
      </w:r>
    </w:p>
    <w:p>
      <w:pPr>
        <w:spacing w:after="60"/>
      </w:pPr>
      <w:r>
        <w:t>ID:</w:t>
      </w:r>
    </w:p>
    <w:p>
      <w:pPr>
        <w:spacing w:after="60"/>
      </w:pPr>
      <w:r>
        <w:t>Question:</w:t>
      </w:r>
    </w:p>
    <w:p>
      <w:pPr>
        <w:spacing w:after="60"/>
      </w:pPr>
      <w:r>
        <w:t>Raised by:</w:t>
      </w:r>
    </w:p>
    <w:p>
      <w:pPr>
        <w:spacing w:after="60"/>
      </w:pPr>
      <w:r>
        <w:t>Owner:</w:t>
      </w:r>
    </w:p>
    <w:p>
      <w:pPr>
        <w:spacing w:after="60"/>
      </w:pPr>
      <w:r>
        <w:t>Due date:</w:t>
      </w:r>
    </w:p>
    <w:p>
      <w:pPr>
        <w:spacing w:after="60"/>
      </w:pPr>
      <w:r>
        <w:t>Answer:</w:t>
      </w:r>
    </w:p>
    <w:p>
      <w:pPr>
        <w:spacing w:after="60"/>
      </w:pPr>
      <w:r>
        <w:t>Supporting document / revision:</w:t>
      </w:r>
    </w:p>
    <w:p>
      <w:pPr>
        <w:spacing w:after="60"/>
      </w:pPr>
      <w:r>
        <w:t>Status:</w:t>
      </w:r>
    </w:p>
    <w:p>
      <w:pPr>
        <w:spacing w:after="60"/>
      </w:pPr>
      <w:r>
        <w:t>Closed by / date:</w:t>
      </w:r>
    </w:p>
    <w:p>
      <w:pPr>
        <w:pStyle w:val="Heading2"/>
      </w:pPr>
      <w:r>
        <w:t>Example row</w:t>
      </w:r>
    </w:p>
    <w:p>
      <w:pPr>
        <w:spacing w:after="60"/>
      </w:pPr>
      <w:r>
        <w:t>CL-001 | Description | Buyer | Supplier | 2026-11-01 | Pending | — | Open | —</w:t>
      </w:r>
    </w:p>
    <w:p>
      <w:pPr>
        <w:pStyle w:val="Heading2"/>
      </w:pPr>
      <w:r>
        <w:t>Review</w:t>
      </w:r>
    </w:p>
    <w:p>
      <w:pPr>
        <w:spacing w:after="60"/>
      </w:pPr>
      <w:r>
        <w:t>Open items reviewed on:</w:t>
      </w:r>
    </w:p>
    <w:p>
      <w:pPr>
        <w:spacing w:after="60"/>
      </w:pPr>
      <w:r>
        <w:t>Escalation contact:</w:t>
      </w:r>
    </w:p>
    <w:p>
      <w:pPr>
        <w:spacing w:after="60"/>
      </w:pPr>
      <w:r>
        <w:t>Next review date:</w:t>
      </w:r>
    </w:p>
    <w:p>
      <w:r>
        <w:rPr>
          <w:sz w:val="16"/>
        </w:rPr>
        <w:t>Version: placeholder · Date: 2026-10-28 · Language: EN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